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w:t>
      </w:r>
    </w:p>
    <w:p>
      <w:r>
        <w:t>Bundesgericht (BGE), 2014-11-19, DE</w:t>
      </w:r>
    </w:p>
    <w:p>
      <w:r>
        <w:rPr>
          <w:b/>
        </w:rPr>
        <w:t xml:space="preserve">Quelle: </w:t>
      </w:r>
      <w:r>
        <w:t>https://mcp.opencaselaw.ch/entscheid/bge_141 III 28</w:t>
      </w:r>
    </w:p>
    <w:p>
      <w:r>
        <w:t>FR: ATF 141 III 28</w:t>
      </w:r>
    </w:p>
    <w:p>
      <w:r>
        <w:t>IT: DTF 141 III 28</w:t>
      </w:r>
    </w:p>
    <w:p>
      <w:pPr>
        <w:pStyle w:val="Heading2"/>
      </w:pPr>
      <w:r>
        <w:t>Regeste</w:t>
      </w:r>
    </w:p>
    <w:p>
      <w:r>
        <w:t>Regeste Art. 80 Abs. 1 SchKG; Art. 1 LugÜ; Entsenderichtlinie (96/71/EG); Freizügigkeitsabkommen; Verordnung (EG) Nr. 883/2004 zur Koordinierung der Systeme der sozialen Sicherheit. Kann definitive Rechtsöffnung gestützt auf ein österreichisches Urteil erteilt werden, in welchem eine Schweizer Gesellschaft zu Zahlungen an die österreichische Urlaubskasse für Bauarbeiter verpflichtet wurde? Begriff der Zivil- und Handelssache im Sinne von Art. 1 LugÜ und Abgrenzung von öffentlich-rechtlichen Angelegenheiten. Anwendung auf den vorliegenden Fall (E. 3.1). Sachlicher Geltungsbereich der Verordnung (EG) Nr. 883/2004 und Beurteilung, ob die Leistungen der österreichischen Urlaubskasse darunterfallen (E. 3.2.1-3.2.3). Bedeutung des Gleichbehandlungsgebots gemäss Art. 9 Abs. 1 des Anhangs I des Freizügigkeitsabkommens für die Vollstreckung (E. 3.2.4).</w:t>
      </w:r>
    </w:p>
    <w:p>
      <w:pPr>
        <w:pStyle w:val="Heading2"/>
      </w:pPr>
      <w:r>
        <w:t>Erwägungen</w:t>
      </w:r>
    </w:p>
    <w:p>
      <w:r>
        <w:rPr>
          <w:b/>
        </w:rPr>
        <w:t>E. 2</w:t>
      </w:r>
    </w:p>
    <w:p>
      <w:r>
        <w:t>Hintergrund des Streits sind die unterschiedlichen Regelungen in der Schweiz und in Österreich über die Ferienentschädigungen von Arbeitnehmern in der Baubranche. In beiden Ländern besteht Anspruch auf bezahlten Urlaub. In der Schweiz zahlt der Arbeitgeber den Ferienlohn im Rahmen der Lohnzahlungen direkt dem Arbeitnehmer aus ( Art. 329d OR ; vgl. BGE 132 III 172 E. 3.1 S. 174; BGE 129 III 493 E. 3 S. 495 ff.). Demgegenüber hat nach österreichischem Recht der Arbeitgeber die sog. "Zuschläge" an die Beschwerdeführerin abzuliefern, die das Urlaubsentgelt beim Ferienbezug an den Arbeitgeber zuhanden des Arbeitnehmers oder ausnahmsweise direkt an den Arbeitnehmer auszahlt (§§ 8 und 21a des österreichischen Bundesgesetzes betreffend den Urlaub und die Abfertigung für Arbeitnehmer in der Bauwirtschaft; Bauarbeiter-Urlaubs- und Abfertigungsgesetz; BUAG). Bei entsandten Arbeitnehmern, um die es vorliegend geht, wird das Urlaubsentgelt direkt dem Arbeitnehmer ausbezahlt (§ 33f Abs. 3 BUAG). Nachdem die Beschwerdegegnerin die von ihr verlangten Zuschläge der Beschwerdeführerin nicht abgeliefert hat, hat Letztere diese erfolgreich vor den österreichischen Gerichten eingeklagt. BGE 141 III 28 S. 31 Umstritten ist, ob die Beschwerdeführerin diese zu ihren Gunsten ausgefallenen österreichischen Urteile in der Schweiz auf dem Betreibungsweg vollstrecken lassen kann. Die Vorinstanz hat dies verneint mit der Begründung, die Forderung der Beschwerdeführerin sei öffentlich-rechtlicher Natur und falle deshalb nicht unter das LugÜ (SR 0.275.12). Auch die aufgrund des Abkommens vom 21. Juni 1999 zwischen der Schweizerischen Eidgenossenschaft einerseits und der Europäischen Gemeinschaft und ihren Mitgliedstaaten andererseits über die Freizügigkeit (FZA; SR 0.142.112.681) anzuwendenden Verordnungen (EG) Nr. 883/2004 des Europäischen Parlaments und des Rates vom 29. April 2004 zur Koordinierung der Systeme der sozialen Sicherheit (SR 0.831.109.268.1) und (EG) Nr. 987/2009 des Europäischen Parlaments und des Rates vom 16. September 2009 zur Festlegung der Modalitäten für die Durchführung der Verordnung (EG) Nr. 883/2004 über die Koordinierung der Systeme der sozialen Sicherheit (SR 0.831.109.268.11) kämen als Grundlage hiefür nicht in Betracht. Die Vollstreckbarkeit lasse sich schliesslich auch nicht auf einen "völkerrechtlichen Anspruch auf Gleichbehandlung" oder die Richtlinie 96/71/EG des Europäischen Parlaments und des Rates vom 16. Dezember 1996 über die Entsendung von Arbeitnehmern im Rahmen der Erbringung von Dienstleistungen (ABl. L 18 vom 21. Januar 1997 S. 1; nachfolgend: Entsenderichtlinie) abstützen.</w:t>
      </w:r>
    </w:p>
    <w:p>
      <w:r>
        <w:rPr>
          <w:b/>
        </w:rPr>
        <w:t>E. 3</w:t>
      </w:r>
    </w:p>
    <w:p>
      <w:r>
        <w:t>Gemäss Art. 80 Abs. 1 SchKG kann der Gläubiger beim Richter die Aufhebung des Rechtsvorschlags (definitive Rechtsöffnung) verlangen, wenn seine Forderung auf einem vollstreckbaren gerichtlichen Entscheid beruht. Während ausländische Zivilentscheide in der Schweiz der Vollstreckung grundsätzlich zugänglich sind, da sie gestützt auf Staatsvertragsrecht (insbesondere Art. 32 ff. LugÜ ) und subsidiär gestützt auf Art. 25 ff. IPRG (SR 291) für vollstreckbar erklärt und hernach vollstreckt werden können, ist eine Vollstreckung ausländischer öffentlich-rechtlicher Forderungen in der Regel nicht möglich, da staatsvertragliche Bestimmungen, die dies vorsehen würden, nur ausnahmsweise bestehen (vgl. DANIEL STAEHELIN, in: Basler Kommentar, Bundesgesetz über Schuldbetreibung und Konkurs, Bd. I, 2. Aufl. 2010, N. 59 ff. und 145 ff. zu Art. 80 SchKG ).</w:t>
      </w:r>
    </w:p>
    <w:p>
      <w:r>
        <w:rPr>
          <w:b/>
        </w:rPr>
        <w:t>E. 3.1.1</w:t>
      </w:r>
    </w:p>
    <w:p>
      <w:r>
        <w:t>Zunächst ist zu prüfen, ob die als Rechtsöffnungstitel vorgelegten Urteile gestützt auf das LugÜ in der Schweiz vollstreckt werden können. Dies würde voraussetzen, dass die als BGE 141 III 28 S. 32 Rechtsöffnungstitel vorgelegten Urteile eine Zivil- und Handelssache im Sinne von Art. 1 Ziff. 1 und Ziff. 2 LugÜ betreffen (ROLF SCHULER, in: Basler Kommentar, Lugano-Übereinkommen, 2011, N. 4 zu Art. 32 LugÜ ; vgl. BGE 140 III 320 E. 10 S. 334). Keine Zivil- und Handelssachen sind namentlich Steuer- und Zollsachen, verwaltungsrechtliche Angelegenheiten und Angelegenheiten der sozialen Sicherheit ( Art. 1 Ziff. 1 und Art. 1 Ziff. 2 lit. c LugÜ ). Der Begriff der "Zivil- und Handelssache" ist vertragsautonom und nicht nach einer der berührten nationalen Rechtsordnungen auszulegen ( BGE 124 III 436 E. 2c S. 439). Bei der Auslegung zu berücksichtigen ist die Rechtsprechung des EuGH zum Europäischen Übereinkommen vom 27. September 1968 über die gerichtliche Zuständigkeit und die Vollstreckung gerichtlicher Entscheidungen in Zivil- und Handelssachen (EuGVÜ) und zur Verordnung (EG) Nr. 44/2001 des Rates vom 22. Dezember 2000 über die gerichtliche Zuständigkeit und die Anerkennung und Vollstreckung von Entscheidungen in Zivil- und Handelssachen (EuGVVO), soweit sich ein entsprechender Entscheid des EuGH nicht massgeblich auf gemeinschaftsrechtliche Grundsätze stützt, die die Schweiz nicht mitträgt (Art. 1 Ziff. 1 des Protokolls Nr. 2 zum LugÜ; BGE 140 III 320 E. 6.1 S. 322; BGE 139 III 232 E. 2.2 S. 234; BGE 138 III 386 E. 2.6 S. 391 f.; BGE 135 III 185 E. 3.2 S. 189). Der Begriff der "Zivil- und Handelssache" ist weit auszulegen ( BGE 124 III 382 E. 6e S. 397, BGE 124 III 436 E. 3a S. 440). Abzustellen ist auf materiellrechtliche Kriterien. Nicht entscheidend ist, ob eine der Parteien öffentlich-rechtlich konstituiert ist ( BGE 124 III 134 E. 2b/aa/bbb S. 139). Irrelevant ist ebenfalls, ob ein Zivil-, Straf- oder Verwaltungsgericht über den zu vollstreckenden Anspruch befunden hat (Urteil 5A_162/2009 vom 15. Mai 2009 E. 3.3). Gemäss der vom Bundesgericht übernommenen Rechtsprechung des EuGH ist das massgebliche Kriterium zur Abgrenzung von zivil- und öffentlich-rechtlichen Angelegenheiten, ob das streitige Rechtsverhältnis im Zusammenhang mit der Ausübung hoheitlicher Befugnisse steht. Demgegenüber ist selbst dann von einer Zivil- und Handelssache auszugehen, wenn Befugnisse zwar von einem Hoheitsträger wahrgenommen werden, diese aber nicht von den im Verhältnis zwischen Privatpersonen geltenden Regeln abweichen ( BGE 124 III 436 E. 3a S. 440 mit Hinweis auf das Urteil des EuGH vom 21. April 1993 C-172/91 Sonntag , Slg. 1993 I-1963 Randnrn. 20 und 22).</w:t>
      </w:r>
    </w:p>
    <w:p>
      <w:r>
        <w:rPr>
          <w:b/>
        </w:rPr>
        <w:t>E. 3.1.2</w:t>
      </w:r>
    </w:p>
    <w:p>
      <w:r>
        <w:t>Unter Berücksichtigung dieser Grundsätze ergibt sich Folgendes: Nicht entscheidend ist, dass die Beschwerdeführerin eine BGE 141 III 28 S. 33 Körperschaft des österreichischen öffentlichen Rechts ist (§ 14 Abs. 2 BUAG). Entscheidend ist vielmehr, ob die Beschwerdeführerin hoheitlich gehandelt hat, wobei massgeblich darauf abzustellen ist, ob sie Befugnisse wahrgenommen hat, die von den im Verhältnis zwischen Privatpersonen geltenden Regeln abweichen. Dabei ist zu berücksichtigen, dass sich die Tätigkeit der Beschwerdeführerin grundsätzlich auf privatrechtliche Arbeitsverträge (§ 1 Abs. 1 BUAG) bezieht und den privatrechtlichen Anspruch der Arbeitnehmer auf Urlaub und Urlaubsentgelt zum Gegenstand hat (vgl. zur Qualifizierung dieser Ansprüche für den Bereich von EuGVVO/LugÜ KROPHOLLER/VON HEIN, Europäisches Zivilprozessrecht, 9. Aufl. 2011, N. 39 zu Art. 1 EuGVO; THOMAS MÜLLER, in: Lugano-Übereinkommen [LugÜ], Dasser/Oberhammer [Hrsg.], 2. Aufl. 2011, N. 37 zu Art. 18 LugÜ ; vgl. jedoch § 8 Abs. 1 letzter Satz und § 33f Abs. 2 BUAG, wonach sich der Urlaubsentgeltsanspruch gegen die Kasse richtet). Die Beschwerdeführerin geht davon aus, dass dieser privatrechtliche Aspekt im Vordergrund steht und das LugÜ deshalb anzuwenden ist. Es ist nun jedoch zu beachten, dass vorliegend nicht ein Arbeitnehmer seinen Urlaubsentgeltsanspruch geltend macht, sondern die mit der Erhebung dieser Gelder und der Durchführung der damit zusammenhängenden Aufgaben betraute Beschwerdeführerin (§ 14 Abs. 1 BUAG) entsprechende Zahlungen von der Beschwerdegegnerin verlangt. Es geht vorliegend nicht um den Anspruch der Arbeitnehmer, sondern um die Art des Auftretens der Kasse gegenüber den Arbeitgebern bzw. gegenüber der Beschwerdegegnerin. Dem BUAG lässt sich dazu Folgendes entnehmen: Werden Arbeitnehmer ohne gewöhnlichen Aufenthalt in Österreich von einem Arbeitgeber nach Österreich entsandt, so gelten im Vergleich zum Normalfall (d.h. zum binnen-österreichischen Fall) modifizierte Vorschriften (§§ 33d ff. BUAG). Gemäss § 33f i.V.m. § 21 Abs. 1 BUAG wird der Aufwand der Kasse an Urlaubsentgelten und der Aufwand an Verwaltungskosten durch die Entrichtung von Lohnzuschlägen bestritten. Somit enthält der Zuschlag nicht nur die Ansprüche des Arbeitnehmers auf Ferienlohn, sondern insbesondere auch den Verwaltungsaufwand der Beschwerdeführerin. Ob und in welchem Umfang in die Forderung der Kasse vorliegend auch die Nebenleistungen gemäss § 26 BUAG (auf das Urlaubsentgelt entfallende Sozialversicherungsbeiträge und lohnabhängige gesetzliche Abgaben und Beiträge) eingeflossen sind (§§ 33d ff. BUAG verweisen nicht direkt BGE 141 III 28 S. 34 auf § 26 BUAG) oder wie hoch der Anteil der Verwaltungskosten ausfällt, ergibt sich aus dem angefochtenen Urteil nicht. Die Kasse hat vor Bundesgericht jedoch zugestanden, dass sie Steuern und Sozialversicherungsbeiträge erhebt. Demgegenüber finden ihre Ausführungen zur angeblich geringen Höhe der Verwaltungsbeiträge im angefochtenen Urteil keine Stütze, bleiben unbelegt und sind appellatorisch und deshalb nicht zu berücksichtigen ( Art. 105 Abs. 1 und Art. 97 Abs. 1 BGG ; BGE 134 II 244 E. 2.2 S. 246; BGE 137 II 353 E. 5.1 S. 356). Aus dem BUAG folgt sodann, dass die Höhe der Zuschläge auf Antrag der Körperschaften der Arbeitnehmer und Arbeitgeber durch Verordnung des Bundesministers für Arbeit und Soziales festgelegt wird (§ 21 Abs. 1 BUAG). Den Arbeitgeber treffen zahlreiche Verfahrenspflichten: Er hat von sich aus zahlreiche Angaben der Kasse zu melden, insbesondere Angaben über die Arbeitnehmer, ihren Lohn und die Art, die Dauer und den Ort ihres Einsatzes in Österreich (§ 33g Abs. 1 i.V.m. § 22 BUAG). Er muss der Kasse Einsicht in die Lohnaufzeichnungen und Geschäftsunterlagen und weitere Dokumente gewähren (§ 33h Abs. 1 i.V.m. §§ 23 und 23a Abs. 3 BUAG). Die Bediensteten der Kasse haben das Recht zu Baustellenkontrollen und zum Betreten der Aufenthaltsräume der Arbeitnehmer (§ 33h Abs. 1 i.V.m. § 23a BUAG). Den Arbeitgeber trifft eine umfassende Auskunftspflicht (§ 33h Abs. 1 i.V.m. §§ 23a Abs. 3 und 23b Abs. 2 und 3 BUAG). Zum Inkasso ist Folgendes zu beachten: Die Kasse schreibt dem Arbeitgeber aufgrund seiner Meldungen oder bei Nichteinhaltung der Meldepflicht aufgrund der letzten Meldung oder eigener Ermittlungen den Betrag vor, der als Summe der Zuschläge zu leisten ist (§ 33h Abs. 1 i.V.m. § 25 Abs. 1 i.V.m. § 22 Abs. 5 BUAG). Mangels entsprechenden Verweises scheint der Arbeitgeber in Entsendungsfällen gegen diese "Vorschreibung" - anders als in binnen-österreichischen Fällen - keine Einwendungen an die Kasse erheben zu können (§ 25 Abs. 1b BUAG). Zahlt der Arbeitgeber nicht fristgerecht, hat die Kasse ihm eine Nachfrist von zwei Wochen anzusetzen, wobei ab dem Fälligkeitszeitpunkt Verzugszinsen von 7 % geschuldet sind (§ 33h Abs. 1 i.V.m. § 25 Abs. 2 BUAG). Leistet er immer noch nicht, hat die Kasse die Zuschläge auf dem Gerichtsweg beim Arbeits- und Sozialgericht Wien einzuklagen, wobei die Kasse berechtigt ist, alle zur Einbringung der Leistungen erforderlichen und zweckmässigen Massnahmen zu treffen (§ 33h Abs. 2 und 3 BUAG). Demgegenüber reicht die Kompetenz der Kasse in binnen-österreichischen Fällen weiter, denn dort fertigt sie den Vollstreckungstitel in Form des sog. BGE 141 III 28 S. 35 "Rückstandsausweises" selber aus (§ 25 Abs. 3 BUAG) und es obliegt dem Arbeitgeber, bei der Bezirksverwaltungsbehörde dagegen Einspruch zu erheben (§ 25 Abs. 5 ff. BUAG). Bei Widerhandlungen gegen die Melde-, Offenlegungs- und Auskunftspflichten sowie gegen die Verpflichtung zur Bezahlung der Zuschläge drohen Geldstrafen (§ 32 BUAG), wobei mangels ausdrücklichen Verweises in §§ 33d ff. BUAG wiederum unklar ist, ob dies auch in Entsendefällen gilt. Angesichts der geschilderten Aufgaben und Befugnisse der Kasse und den zahlreichen Pflichten, denen sich die Arbeitgeber zu unterziehen haben, erscheint das Verhältnis zwischen den Parteien als solches der Subordination. Arbeitgeber und die Kasse treten zu kaum einem Zeitpunkt als gleichrangige Rechtssubjekte auf. Im Gegensatz zu privaten Vereinbarungen unterwirft sich die Arbeitgeberin all ihren Pflichten und den Kontrollbefugnissen der Kasse nicht konsensual, sondern ist sie diesen von Gesetzes wegen unterstellt. Das einzige Element, das in Entsendefällen einen Anschein von Gleichrangigkeit erweckt, ist die Verweisung der Kasse auf den Klageweg, statt dass sie sich - wie in binnen-österreichischen Fällen - den Vollstreckungstitel selber verschaffen kann. Zwischen Privatpersonen besteht demgegenüber typischerweise kein solches Machtgefälle. Wenn im Vertrags- oder Gesellschaftsrecht vergleichbare Kontrollrechte und Meldepflichten bestehen, dann typischerweise nicht (direkt) von Gesetzes wegen, sondern aufgrund entsprechender Verträge oder aufgrund eines Beitritts zu einer Körperschaft, die entsprechende Befugnisse gegenüber ihren Mitgliedern beansprucht (vgl. zum Aspekt der Freiwilligkeit der Verpflichtung Urteil des EuGH vom 15. Mai 2003 C-266/01 Préservatrice foncière TIARD , Slg. 2003 I-4867 Randnrn. 33 f.). Die Beschwerdeführerin versucht in ihrer Beschwerde zwar den Eindruck zu erwecken, sie sei eine blosse Zahlstelle oder Durchgangsstation für die Begleichung einer privatrechtlichen Forderung. Ihre Aufgaben und Befugnisse gehen jedoch weit über dasjenige hinaus, was eine blosse Zahlstelle zu leisten hätte. Aus den von der Beschwerdeführerin zitierten Belegen (einem Auszug aus dem Kommentar von MARTINEK und WIDORN zum BUAG, S. 59 f, und dem Urteil des OGH 8ObA 2/11v vom 25. Oktober 2011) lässt sich nichts Gegenteiliges entnehmen, geht es doch dort nicht um das Verhältnis zwischen der Kasse und dem Arbeitgeber, sondern primär um den Anspruch des Arbeitnehmers auf BGE 141 III 28 S. 36 Urlaubsentgelt und um die Anrechnung von Direktzahlungen, die der Arbeitgeber an den Arbeitnehmer aufgrund einer anderen österreichischen Urlaubsgesetzgebung geleistet hat, auf den Urlaubsentgeltsanspruch gemäss BUAG. Nicht zu hören ist die Beschwerdeführerin mit ihrer Behauptung (wiederum unter Bezug auf das zitierte Urteil des OGH), wonach die Anrechnung von direkt den Arbeitnehmern ausgerichteten Ferienlöhnen auf die Zuschlagsforderung möglich gewesen wäre, was die zivilrechtliche Natur der Zuschlagsforderung untermauere. Dem ist entgegenzuhalten, dass das Sozial- und Arbeitsgericht eine Aufrechnung kategorisch abgelehnt hat (und nicht etwa nur wegen mangelnden Beweisanerbietens durch die Beschwerdegegnerin über ihre erbrachten Leistungen, wie die Beschwerdeführerin vorbringt) und eine Freistellung nur im Rahmen von § 33i Abs. 4 BUAG (vergleichbares Sozial- und Urlaubskassensystem im Sitzstaat des Arbeitgebers, also in der Schweiz) in Betracht gezogen hat, wobei die Voraussetzungen für eine solche Freistellung aber vorliegend nicht erfüllt seien. Die Beschwerdeführerin macht sodann geltend, sie diene den Interessen der Arbeitnehmer. Sie nehme ihnen das Risiko der Einbringlichmachung ihrer Urlaubsentgeltsansprüche ab und es bleibe ihnen erspart, diese gerichtlich gegen ihre Arbeitgeber durchzusetzen. Das Urlaubskassensystem solle sicherstellen, dass den entsandten Arbeitnehmern der Urlaub faktisch gewährt wird und sie ihr Urlaubsentgelt in der nach österreichischem Lohnniveau entsprechenden Höhe erhielten. Dies diene der Vermeidung von Sozialdumping. Somit stelle das Urlaubskassenverfahren bloss ein Instrument zur Absicherung zivilrechtlicher Ansprüche und zur Verhinderung von Sozialdumping dar. Diese Vorbringen sprechen allerdings nicht gegen die öffentlich-rechtliche Natur ihrer Forderung gegen die Arbeitgeber. Der Kampf gegen Sozialdumping und dafür, dass die Arbeitnehmer genügend Urlaub beziehen können, liegt im öffentlichen Interesse. Es ist dabei durchaus denkbar, dass der Staat die Durchsetzung von ursprünglich privatrechtlichen Forderungen in die eigene Hand nimmt und sich dabei hoheitlicher Mittel bedient, insbesondere um gewisse Schwächen der einen Vertragspartei zu kompensieren. Insgesamt erscheint das Handeln der Beschwerdeführerin gegenüber der Beschwerdegegnerin demnach als hoheitlich. Das Vorgehen der Beschwerdegegnerin stützt sich auf andere rechtliche Grundlagen als die zwischen Arbeitnehmer und Arbeitgeber geltenden, und es weicht in den Modalitäten wesentlich von denjenigen ab, die bei einem Vorgehen des Arbeitnehmers gegenüber dem Arbeitgeber BGE 141 III 28 S. 37 gelten würden (vgl. Urteil des EuGH vom 15. Januar 2004 C-433/01 Blijdenstein , Slg. 2004 I-981 Randnr. 20 mit Hinweis). Bezeichnenderweise spricht auch das Arbeits- und Sozialgericht Wien davon, es gehe um öffentlich-rechtliche Forderungen (S. 4 des Urteils des Arbeits- und Sozialgerichts; vgl. auch § 28 Abs. 1 BUAG, wonach die Zuschläge gemäss § 21 BUAG als öffentliche Abgaben gelten, wobei §§ 33d ff. BUAG allerdings nicht auf diese Norm verweisen). Die Beschwerdeführerin leitet die zivilrechtliche Natur ihrer Forderung schliesslich aus der Richtlinie 96/71/EG (Entsenderichtlinie) ab (vgl. dazu BRITTA BONFRANCHI-GEB, Hintergrund und Tragweite der "Entsenderichtlinie" der Europäischen Union, recht 15/1997 S. 219 ff.). Das Freizügigkeitsabkommen nimmt auf diese Richtlinie in Art. 22 Abs. 2 von Anhang I (mit Verweis auf Art. 16 FZA ) Bezug (vgl. EPINEY/ZBINDEN, Arbeitnehmerentsendung undFreizügigkeitsabkommen Schweiz-EG, 2009, S. 44). Aus dieser Richtlinie lässt sich zwar das Bestreben ableiten, den freien Personen- und Dienstleistungsverkehr zu fördern und sicherzustellen, dass entsandte Arbeitnehmer nicht schlechter gestellt sind als inländische Arbeitnehmer im Staat, in dem die Arbeitsleistung erbracht wird. Art. 3 Abs. 1 lit. b der Entsenderichtlinie nennt als Bereich, in dem eine Schlechterstellung untersagt ist, insbesondere den bezahlten Mindestjahresurlaub. Gemäss Darstellung der Beschwerdeführerin sollen §§ 33d ff. BUAG diese Richtlinie in Österreich umsetzen. Die Richtlinie bildet aber keine Grundlage, um den Begriff der Zivil- und Handelssache des LugÜ anders auszulegen oder die im BUAG vorgesehenen Instrumente der Rechtsdurchsetzung anders zu qualifizieren, als soeben dargestellt. Solches lässt sich entgegen der Ansicht der Beschwerdeführerin insbesondere weder aus Art. 5 der Richtlinie ableiten, wonach die Mitgliedstaaten sicherzustellen haben, dass den Arbeitnehmern oder ihren Vertretern für die Durchsetzung der aus der Richtlinie folgenden Verpflichtungen geeignete Verfahren zur Verfügung stehen, noch aus Art. 6 der Richtlinie, wonach zur Durchsetzung des Rechts auf die in Art. 3 gewährleisteten Arbeits- und Beschäftigungsbedingungen eine Klage in dem Mitgliedstaat erhoben werden kann, in dessen Hoheitsgebiet der Arbeitnehmer entsandt worden ist. Ob das Handeln der Kasse zivil- oder öffentlich-rechtlicher Natur ist, lässt sich der Entsenderichtlinie nicht entnehmen (zum Schlechterstellungsverbot unten E. 3.2.4). Nichts Abweichendes kann die Beschwerdeführerin aus den von ihr angeführten Urteilen des EuGH i.S. Finalarte (Urteil des EuGH vom 25. Oktober 2001 C-49/98 etc. Finalarte u.a. , Slg. 2001 I-7831) und BGE 141 III 28 S. 38 Kommission gegen Deutschland (Urteil des EuGH vom 18. Juli 2007 C-490/04 Kommission gegen Deutschland , Slg. 2007 I-6095) entnehmen. Der EuGH hat sich im erstgenannten Urteil bloss zur Zulässigkeit des Urlaubskassensystems (konkret des deutschen) und den entsprechenden Vorbehalten unter dem Gesichtspunkt des EG-Vertrages geäussert, nicht aber zur Vollstreckbarkeit der Forderung der Kasse oder zur Qualifizierung ihrer Forderung. Auch das letztgenannte Urteil äussert sich dazu nicht.</w:t>
      </w:r>
    </w:p>
    <w:p>
      <w:r>
        <w:rPr>
          <w:b/>
        </w:rPr>
        <w:t>E. 3.1.3</w:t>
      </w:r>
    </w:p>
    <w:p>
      <w:r>
        <w:t>Daraus folgt, dass die von der Beschwerdeführerin in Betreibung gesetzte Forderung öffentlich-rechtlicher Natur ist. Zu Recht hat es die Vorinstanz demnach abgelehnt, die von der Beschwerdeführerin vorgelegten Urteile in der Schweiz gestützt auf das LugÜ für vollstreckbar zu erklären. Der von der Beschwerdeführerin am Rande angerufene Vertrag zwischen der Schweizerischen Eidgenossenschaft und der Republik Österreich vom 16. Dezember 1960 über die Anerkennung und Vollstreckung gerichtlicher Entscheidungen (SR 0.276.191.632) führt, soweit er nach Inkrafttreten des LugÜ überhaupt noch anwendbar ist, zu keinem anderen Ergebnis.</w:t>
      </w:r>
    </w:p>
    <w:p>
      <w:r>
        <w:rPr>
          <w:b/>
        </w:rPr>
        <w:t>E. 3.2</w:t>
      </w:r>
    </w:p>
    <w:p>
      <w:r>
        <w:t>Hilfsweise leitet die Beschwerdeführerin die Vollstreckbarkeit der von ihr erstrittenen Urteile aus dem Freizügigkeitsabkommen und der Verordnung (EG) Nr. 883/2004 ab.</w:t>
      </w:r>
    </w:p>
    <w:p>
      <w:r>
        <w:rPr>
          <w:b/>
        </w:rPr>
        <w:t>E. 3.2.1</w:t>
      </w:r>
    </w:p>
    <w:p>
      <w:r>
        <w:t>Gemäss Art. 8 FZA regeln die Vertragsparteien die Koordinierung der Systeme der sozialen Sicherheit gemäss Anhang II, um insbesondere die Gleichbehandlung, die Bestimmung der anzuwendenden Rechtsvorschriften, die Zusammenrechnung aller nach den verschiedenen nationalen Rechtsvorschriften berücksichtigten Versicherungszeiten für den Erwerb und die Aufrechterhaltung des Leistungsanspruchs und die Berechnung der Leistungen, die Zahlung der Leistungen an Personen mit Wohnsitz im Hoheitsgebiet der Vertragsstaaten und die Amtshilfe und Zusammenarbeit der Behörden und Einrichtungen zu gewährleisten. Gemäss Art. 1 Ziff. 1 des genannten Anhangs II wenden die Vertragsparteien verschiedene Rechtsakte der Europäischen Union an, darunter insbesondere die Verordnung (EG) Nr. 883/2004 zur Koordinierung der Systeme der sozialen Sicherheit (Ziff. 1 von Abschnitt A des Anhangs II), auf die sich die Beschwerdeführerin in erster Linie stützt. Der sachliche Geltungsbereich der Verordnung (EG) Nr. 883/2004 umfasst nach ihrem Art. 3 Abs. 1 folgende Zweige der sozialen Sicherheit: Leistungen bei Krankheit, Leistungen bei Mutterschaft und Vaterschaft, bei Invalidität, bei Alter, an Hinterbliebene, bei BGE 141 III 28 S. 39 Arbeitsunfällen und Berufskrankheiten, Sterbegeld, Leistungen bei Arbeitslosigkeit, Vorruhestandsleistungen und Familienleistungen. Art. 84 Abs. 1 der Verordnung (EG) Nr. 883/2004 sieht vor, dass Beiträge, die einem Träger eines Mitgliedstaats geschuldet werden, in einem anderen Mitgliedstaat nach den Verfahren und mit den Sicherungen und Vorrechten eingezogen werden können, die für die Einziehung der dem entsprechenden Träger des letzteren Mitgliedstaats geschuldeten Beiträge gelten. Nach Art. 84 Abs. 2 werden vollstreckbare Entscheidungen der Gerichte und Behörden über die Einziehung von Beiträgen, Zinsen und alle sonstigen Kosten gemäss den Rechtsvorschriften eines Mitgliedstaats auf Antrag des zuständigen Trägers in einem anderen Mitgliedstaat innerhalb der Grenzen und nach Massgabe der in diesem Mitgliedstaat für ähnliche Entscheidungen geltenden Rechtsvorschriften und anderen Verfahren anerkannt und vollstreckt. Solche Entscheidungen sind in diesem Mitgliedstaat für vollstreckbar zu erklären, sofern die Rechtsvorschriften und alle anderen Verfahren dieses Mitgliedstaats dies erfordern. Für das Verfahren zur Durchführung von Art. 84 verweist dessen Abs. 4 auf die Verordnung (EG) Nr. 987/2009, wo detailliert geregelt ist, wie das Inkasso stattzufinden hat (Art. 71 ff. der Verordnung [EG] Nr. 987/2009).</w:t>
      </w:r>
    </w:p>
    <w:p>
      <w:r>
        <w:rPr>
          <w:b/>
        </w:rPr>
        <w:t>E. 3.2.2</w:t>
      </w:r>
    </w:p>
    <w:p>
      <w:r>
        <w:t>Urlaubsleistungen sind in Art. 3 Abs. 1 der Verordnung (EG) Nr. 883/2004 nicht aufgeführt. Die Aufzählung in Art. 3 Abs. 1 der Verordnung (EG) Nr. 883/2004 ist nach Lehre und Rechtsprechung abschliessend (Urteile des EuGH vom 11. Juli 1996 C-25/95 Otte , Slg. 1996 I-3745 Randnr. 22, und vom 5. März 1998 C-160/96 Molenaar , Slg. 1998 I-843 Randnr. 20 [zur Vorgängerverordnung (EWG)Nr. 1408/71]; MAXIMILIAN FUCHS, in: Europäisches Sozialrecht, 6. Aufl. 2013, N. 3 zu Art. 3 der Verordnung (EG) Nr. 883/2004; SCHRAMMEL/WINKLER, Europäisches Arbeits- und Sozialrecht, 2010, S. 243; ROLAND A. MÜLLER, Soziale Sicherheit einschliesslich Anpassungen des schweizerischen Rechts, in: Bilaterale Verträge I &amp; II Schweiz-EU, 2007, Rz. 36). Allerdings hängt die Qualifikation einer Leistung als solche der sozialen Sicherheit im Sinne von Art. 3 Abs. 1 der Verordnung (EG) Nr. 883/2004 nicht von ihrer Bezeichnung, sondern von ihren wesentlichen Merkmalen ab, insbesondere von ihrem Zweck und den Voraussetzungen ihrer Gewährung. Die Leistung muss einen hinreichenden Bezug zu einem der ausdrücklich in Art. 3 Abs. 1 der Verordnung (EG) Nr. 883/2004 aufgezählten Risiken aufweisen (Urteil des EuGH vom 11. Juli 1996 C-25/95 Otte , BGE 141 III 28 S. 40 Slg. 1996 I-3745 Randnrn. 21 f.; FUCHS, a.a.O., N. 7 zu Art. 3 der Verordnung (EG) Nr. 883/2004; SCHRAMMEL/WINKLER, a.a.O., S. 243).</w:t>
      </w:r>
    </w:p>
    <w:p>
      <w:r>
        <w:rPr>
          <w:b/>
        </w:rPr>
        <w:t>E. 3.2.3</w:t>
      </w:r>
    </w:p>
    <w:p>
      <w:r>
        <w:t>Die Vorinstanz hat das Vorliegen eines solchen Bezugs zu Recht verneint. Das Urlaubskassensystem dient dazu, den Arbeitnehmern die Durchsetzung eines privatrechtlichen Anspruchs gegen ihre Arbeitgeber (vgl. oben E. 3.1.2, 1. Absatz) zu erleichtern. Dies wird von der Beschwerdeführerin bestätigt und sie führt aus, dieses System solle sodann Sozialdumping verhindern (vgl. oben E. 3.1.2). Zwar sichert das Urlaubsentgelt, ähnlich wie die meisten der in Art. 3 Abs. 1 der Verordnung (EG) Nr. 883/2004 aufgezählten Zweige der sozialen Sicherheit, die finanzielle Lage einer Person (und ihrer Angehörigen), die gerade keiner Erwerbstätigkeit nachgeht. Beim Urlaubsbezug handelt es sich allerdings um einen normalen, weitgehend planbaren und bloss kurzfristigen Unterbruch der Erwerbstätigkeit im Interesse der Arbeitnehmer, obschon sie an sich arbeitsfähig wären. Der Urlaubsbezug entspricht nicht dem Eintritt eines Risikos, der den in Art. 3 Abs. 1 der Verordnung (EG) Nr. 883/2004 genannten vergleichbar wäre, denn diese treten grundsätzlich mehr oder weniger unvorhergesehen ein und/oder hindern den Betroffenen mehr oder weniger lange bzw. in mehr oder weniger grossem Ausmass tatsächlich an der Erwerbsarbeit. Gemäss Art. 3 Abs. 2 der Verordnung (EG) Nr. 883/2004 sind zwar auch Systeme betreffend die Verpflichtungen von Arbeitgebern erfasst. Durch diese Norm wird jedoch bloss klargestellt, dass die Systeme in verschiedener Art und Weise (insbesondere hinsichtlich der Art der Finanzierung) ausgestaltet sein können und dennoch unter die Verordnung (EG) Nr. 883/2004 fallen. Diese Norm erweitert aber nicht den sachlichen Geltungsbereich der Verordnung (vgl. FUCHS, a.a.O., N. 30 zu Art. 3 der Verordnung [EG] Nr. 883/2004; Urteil des EuGHvom 3. Juni 1992 C-45/90 Paletta , Slg. 1992 I-3423 Randnrn. 13 ff.). Auch aus dem Aspekt des Sozialdumpings lässt sich nicht ableiten, dass es sich beim Urlaubskassensystem um einen Zweig der sozialen Sicherheit handelt. Der Kampf gegen Sozialdumping dient nicht der individuellen Absicherung der Arbeitnehmer gegen Risiken, sondern allgemein der Bewahrung des erreichten sozialstaatlichen und volkswirtschaftlichen Niveaus eines Landes. Nach Darstellung der Beschwerdeführerin ist das Urlaubskassensystem sodann in den Ländern der EU relativ stark verbreitet. Es ist mithin davon auszugehen, dass diese Systeme ausdrücklich erwähnt worden wären, wenn sie tatsächlich der Verordnung (EG) Nr. 883/2004 hätten BGE 141 III 28 S. 41 unterstellt werden sollen. Die Vorinstanz hat sodann festgestellt, dass kein Staat und insbesondere auch nicht Österreich eine Erklärung gemäss Art. 9 Abs. 1 der Verordnung (EG) Nr. 883/2004 abgegeben habe, wonach das Urlaubskassensystem des betreffenden Staates ein System bzw. eine Regelung nach Art. 3 der Verordnung (EG) Nr. 883/2004 darstelle. Die Beschwerdeführerin widerspricht dem nicht. Auch aus den von ihr angerufenen Urteilen des EuGH i.S. Finalarte und Kommission gegen Deutschland kann sie im vorliegenden Zusammenhang nichts zu ihren Gunsten ableiten (vgl. oben E. 3.1.2 am Ende). Insbesondere lässt sich ihnen nicht entnehmen, dass die Forderung der Beschwerdeführerin die soziale Sicherheit im Sinne der Verordnung (EG) Nr. 883/2004 beschlägt.</w:t>
      </w:r>
    </w:p>
    <w:p>
      <w:r>
        <w:rPr>
          <w:b/>
        </w:rPr>
        <w:t>E. 3.2.4</w:t>
      </w:r>
    </w:p>
    <w:p>
      <w:r>
        <w:t>Schliesslich beruft sich die Beschwerdeführerin auf den Anspruch auf Gleichbehandlung gemäss Art. 9 Abs. 1 des Anhangs I des FZA. Dies hat sie bereits vor Kantonsgericht getan. Sie rügt in diesem Zusammenhang eine Verletzung des rechtlichen Gehörs ( Art. 29 Abs. 2 BV ), weil die Vorinstanz zu wenig begründet habe, weshalb ihr Vorbringen unbegründet sei.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BGE 134 I 83 E. 4.1 S. 88; je mit Hinweisen). Das Kantonsgericht hat ausgeführt, Art. 9 Abs. 1 des Anhangs I zum FZA bilde keine Grundlage für die Vollstreckung, da es dazu einer ausdrücklichen staatsvertraglichen Grundlage bedürfte. Damit ist das Kantonsgericht seiner Begründungspflicht nachgekommen. Die Rüge der Beschwerdeführerin ist unbegründet. In der Sache sieht die Beschwerdeführerin Art. 9 Abs. 1 des Anhangs I zum FZA verletzt, wenn sie von der Beschwerdegegnerin die geschuldeten Beträge nicht erhältlich machen und ihren Arbeitnehmern nicht den Schutz des BUAG angedeihen lassen kann. Gemäss Art. 9 Abs. 1 des Anhangs I zum FZA darf ein Arbeitnehmer, der Staatsangehöriger einer Vertragspartei ist, aufgrund seiner Staatsangehörigkeit im Hoheitsgebiet der anderen Vertragspartei BGE 141 III 28 S. 42 hinsichtlich der Beschäftigungs- und Arbeitsbedingungen, insbesondere im Hinblick auf Entlohnung, Kündigung etc., nicht anders behandelt werden als inländische Arbeitnehmer. Diese Bestimmung richtet sich damit in erster Linie an denjenigen Staat, in den die Arbeiter entsandt werden, und sie dient in erster Linie dem Schutz der Arbeitnehmer. Zur Anerkennung und Vollstreckbarkeit ausländischer öffentlich-rechtlicher Urteile im Entsendestaat, die sich gegen den Arbeitgeber richten, äussert sie sich jedoch nicht. Es mag sein, dass die Tätigkeit der Beschwerdeführerin erschwert wird, wenn sie die von ihr erstrittenen Urteile gegen Schweizer Arbeitgeber in der Schweiz nicht vollstrecken lassen kann. Dies ändert jedoch nichts daran, dass es für die Vollstreckung einer ausdrücklichen gesetzlichen bzw. staatsvertraglichen Grundlage bedürfte. Es ist nicht Aufgabe des Bundesgerichts, in diesem Bereich jenseits der Rechtsanwendung koordinierend einzugreifen (vgl. zum Koordinierungsbedarf im Zusammenhang unterschiedlicher Urlaubsregelungen bei Entsendung über die Landesgrenze Urteil des EuGH Kommission gegen Deutschland , Randnr. 53). Was schliesslich die Behauptung der Beschwerdeführerin betrifft, sie könne bei fehlender Vollstreckbarkeit in der Schweiz ihrer Aufgabe zum Schutz der Arbeitnehmer nicht nachkommen, ist auf Folgendes hinzuweisen: Bei österreichischen Arbeitnehmern scheint der Anspruch auf Urlaubsentgelt im Grundsatz gerade nicht von der faktischen Bezahlung der Zuschläge abzuhängen (§ 8 Abs. 1 i.V.m. § 4 Abs. 2 und § 4a Abs. 2 BUAG, § 8 Abs. 8 BUAG). Hingegen scheint gemäss § 33f Abs. 2 BUAG ein Anspruch auf Urlaubsentgelt bei entsandten Arbeitnehmern nur in dem Umfang zu entstehen, wie der Arbeitgeber tatsächlich Zuschläge entrichtet. Wenn hier also effektiv Unterschiede im Schutz der Arbeitnehmer bestehen sollten, die sich zulasten der aus der Schweiz entsandten Arbeitnehmer auswirken sollten, so lägen diese in der österreichischen Gesetzgebung begründet.</w:t>
      </w:r>
    </w:p>
    <w:p>
      <w:r>
        <w:rPr>
          <w:b/>
        </w:rPr>
        <w:t>E. 3.3</w:t>
      </w:r>
    </w:p>
    <w:p>
      <w:r>
        <w:t>Nach dem Gesagten bilden die von der Beschwerdeführerin angerufenen Normen keine Grundlage für die Vollstreckung der zu ihren Gunsten ausgefallenen österreichischen Urteile. Das Kantonsgericht hat die definitive Rechtsöffnung demnach zu Recht verweigert. Die Beschwerde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